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BC6295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7D62CD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CAS_TC_015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7C3835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E45173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E45173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E45173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E45173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B84434" w:rsidRDefault="00F16735" w:rsidP="00F16735">
      <w:pPr>
        <w:rPr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</w:t>
      </w:r>
      <w:r w:rsidR="00B84434">
        <w:t xml:space="preserve">verify </w:t>
      </w:r>
      <w:r w:rsidR="00B84434" w:rsidRPr="00B84434">
        <w:rPr>
          <w:szCs w:val="20"/>
        </w:rPr>
        <w:t>detailed</w:t>
      </w:r>
      <w:r w:rsidR="007C3835" w:rsidRPr="00FF6F88">
        <w:rPr>
          <w:szCs w:val="20"/>
        </w:rPr>
        <w:t xml:space="preserve"> information for provider DEA numbers stored in </w:t>
      </w:r>
      <w:proofErr w:type="spellStart"/>
      <w:r w:rsidR="007C3835" w:rsidRPr="00FF6F88">
        <w:rPr>
          <w:szCs w:val="20"/>
        </w:rPr>
        <w:t>VistA</w:t>
      </w:r>
      <w:proofErr w:type="spellEnd"/>
      <w:r w:rsidR="007C3835" w:rsidRPr="00FF6F88">
        <w:rPr>
          <w:szCs w:val="20"/>
        </w:rPr>
        <w:t xml:space="preserve"> so the information can be used to provide security controls related to the prescribing and dispensing of controlled substances in both EPCS and </w:t>
      </w:r>
      <w:proofErr w:type="spellStart"/>
      <w:r w:rsidR="007C3835" w:rsidRPr="00FF6F88">
        <w:rPr>
          <w:szCs w:val="20"/>
        </w:rPr>
        <w:t>VistA</w:t>
      </w:r>
      <w:proofErr w:type="spellEnd"/>
      <w:r w:rsidR="007C3835" w:rsidRPr="00FF6F88">
        <w:rPr>
          <w:szCs w:val="20"/>
        </w:rPr>
        <w:t>.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</w:t>
      </w:r>
      <w:r w:rsidR="00B84434">
        <w:t xml:space="preserve">to validate and verify </w:t>
      </w:r>
      <w:r w:rsidR="00B84434" w:rsidRPr="00FF6F88">
        <w:rPr>
          <w:b/>
          <w:szCs w:val="20"/>
        </w:rPr>
        <w:t xml:space="preserve"> </w:t>
      </w:r>
      <w:r w:rsidR="007C3835" w:rsidRPr="00B84434">
        <w:rPr>
          <w:szCs w:val="20"/>
        </w:rPr>
        <w:t xml:space="preserve">detailed information for provider DEA numbers stored in </w:t>
      </w:r>
      <w:proofErr w:type="spellStart"/>
      <w:r w:rsidR="007C3835" w:rsidRPr="00B84434">
        <w:rPr>
          <w:szCs w:val="20"/>
        </w:rPr>
        <w:t>VistA</w:t>
      </w:r>
      <w:proofErr w:type="spellEnd"/>
      <w:r w:rsidR="007C3835" w:rsidRPr="00B84434">
        <w:rPr>
          <w:szCs w:val="20"/>
        </w:rPr>
        <w:t xml:space="preserve"> so the information can be used to provide security controls related to the prescribing and dispensing of controlled substances in both EPCS and </w:t>
      </w:r>
      <w:proofErr w:type="spellStart"/>
      <w:r w:rsidR="007C3835" w:rsidRPr="00B84434">
        <w:rPr>
          <w:szCs w:val="20"/>
        </w:rPr>
        <w:t>VistA</w:t>
      </w:r>
      <w:proofErr w:type="spellEnd"/>
      <w:r w:rsidR="007C3835" w:rsidRPr="00FF6F88">
        <w:rPr>
          <w:szCs w:val="20"/>
        </w:rPr>
        <w:t>.</w:t>
      </w:r>
      <w:r w:rsidRPr="006131A6">
        <w:t xml:space="preserve">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 xml:space="preserve"> Build 2_Sprint 1_</w:t>
            </w:r>
            <w:r w:rsidR="001706D9">
              <w:t>CAS_</w:t>
            </w:r>
            <w:r w:rsidR="00AE5EAF">
              <w:t>MPDU_</w:t>
            </w:r>
            <w:r>
              <w:t>TC_0</w:t>
            </w:r>
            <w:r w:rsidR="00AE5EAF">
              <w:t>15</w:t>
            </w:r>
            <w:r w:rsidR="00676B06">
              <w:t>_</w:t>
            </w:r>
            <w:r w:rsidR="00676B06" w:rsidRPr="00FF6F88">
              <w:rPr>
                <w:b/>
                <w:szCs w:val="20"/>
              </w:rPr>
              <w:t xml:space="preserve">| </w:t>
            </w:r>
            <w:r w:rsidR="00676B06" w:rsidRPr="00676B06">
              <w:rPr>
                <w:szCs w:val="20"/>
              </w:rPr>
              <w:t>Create new DEA # File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Samatha</w:t>
            </w:r>
            <w:proofErr w:type="spellEnd"/>
            <w:r>
              <w:t xml:space="preserve"> </w:t>
            </w:r>
            <w:proofErr w:type="spellStart"/>
            <w:r>
              <w:t>Girla</w:t>
            </w:r>
            <w:proofErr w:type="spellEnd"/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A15A9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 xml:space="preserve">Manage provider Drug Enforcement Agency Numbers (DEA#s)  </w:t>
            </w:r>
          </w:p>
        </w:tc>
      </w:tr>
      <w:tr w:rsidR="00AE5EAF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E5EAF" w:rsidRPr="00EB4B73" w:rsidRDefault="00AE5EAF" w:rsidP="00AE5EAF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AE5EAF" w:rsidRPr="00FF6F88" w:rsidRDefault="00AE5EAF" w:rsidP="00AE5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F6F88">
              <w:rPr>
                <w:szCs w:val="20"/>
              </w:rPr>
              <w:t xml:space="preserve">As a VA Pharmacist, I need detailed information for provider DEA numbers 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 w:rsidRPr="00FF6F88">
              <w:rPr>
                <w:szCs w:val="20"/>
              </w:rPr>
              <w:t xml:space="preserve"> so the information can be used to provide security controls related to the prescribing and dispensing of controlled substances in both EPCS and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 w:rsidRPr="00FF6F88">
              <w:rPr>
                <w:szCs w:val="20"/>
              </w:rPr>
              <w:t>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</w:t>
            </w:r>
            <w:r w:rsidR="00195ED1">
              <w:t xml:space="preserve"> Program</w:t>
            </w:r>
            <w:r w:rsidRPr="0038065E">
              <w:t>.</w:t>
            </w:r>
          </w:p>
          <w:p w:rsidR="007276FE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165C5" w:rsidRDefault="004165C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 xml:space="preserve">DEA numbers </w:t>
            </w:r>
            <w:r>
              <w:rPr>
                <w:szCs w:val="20"/>
              </w:rPr>
              <w:t>should be</w:t>
            </w:r>
            <w:r w:rsidR="003656D7">
              <w:rPr>
                <w:szCs w:val="20"/>
              </w:rPr>
              <w:t xml:space="preserve"> created </w:t>
            </w:r>
            <w:r>
              <w:rPr>
                <w:szCs w:val="20"/>
              </w:rPr>
              <w:t xml:space="preserve"> </w:t>
            </w:r>
            <w:r w:rsidRPr="00FF6F88">
              <w:rPr>
                <w:szCs w:val="20"/>
              </w:rPr>
              <w:t xml:space="preserve">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</w:p>
          <w:p w:rsidR="007B348F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B84434" w:rsidP="00B84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A22CFC">
              <w:rPr>
                <w:color w:val="FF0000"/>
              </w:rPr>
              <w:t>OutPatient</w:t>
            </w:r>
            <w:proofErr w:type="spellEnd"/>
            <w:r w:rsidRPr="00A22CFC">
              <w:rPr>
                <w:color w:val="FF0000"/>
              </w:rPr>
              <w:t xml:space="preserve"> Pharmacy Prescription Processing system </w:t>
            </w:r>
            <w:r>
              <w:t xml:space="preserve">user should </w:t>
            </w:r>
            <w:r>
              <w:rPr>
                <w:szCs w:val="20"/>
              </w:rPr>
              <w:t>able</w:t>
            </w:r>
            <w:r w:rsidRPr="00FF6F88">
              <w:rPr>
                <w:szCs w:val="20"/>
              </w:rPr>
              <w:t xml:space="preserve"> to </w:t>
            </w:r>
            <w:r>
              <w:rPr>
                <w:szCs w:val="20"/>
              </w:rPr>
              <w:t xml:space="preserve">verify </w:t>
            </w:r>
            <w:r w:rsidR="00AE5EAF" w:rsidRPr="00FF6F88">
              <w:rPr>
                <w:szCs w:val="20"/>
              </w:rPr>
              <w:t xml:space="preserve">detailed information for provider DEA numbers stored in </w:t>
            </w:r>
            <w:proofErr w:type="spellStart"/>
            <w:r w:rsidR="00AE5EAF" w:rsidRPr="00FF6F88">
              <w:rPr>
                <w:szCs w:val="20"/>
              </w:rPr>
              <w:t>VistA</w:t>
            </w:r>
            <w:proofErr w:type="spellEnd"/>
            <w:r w:rsidR="00AE5EAF" w:rsidRPr="00FF6F88">
              <w:rPr>
                <w:szCs w:val="20"/>
              </w:rPr>
              <w:t xml:space="preserve"> so the information can be used to provide security controls related to the prescribing and dispensing of controlled substances in both EPCS and </w:t>
            </w:r>
            <w:proofErr w:type="spellStart"/>
            <w:r w:rsidR="00AE5EAF" w:rsidRPr="00FF6F88">
              <w:rPr>
                <w:szCs w:val="20"/>
              </w:rPr>
              <w:t>VistA</w:t>
            </w:r>
            <w:proofErr w:type="spellEnd"/>
            <w:r w:rsidR="00AE5EAF" w:rsidRPr="00FF6F88">
              <w:rPr>
                <w:szCs w:val="20"/>
              </w:rPr>
              <w:t>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ayout w:type="fixed"/>
        <w:tblLook w:val="04A0" w:firstRow="1" w:lastRow="0" w:firstColumn="1" w:lastColumn="0" w:noHBand="0" w:noVBand="1"/>
      </w:tblPr>
      <w:tblGrid>
        <w:gridCol w:w="828"/>
        <w:gridCol w:w="7291"/>
        <w:gridCol w:w="810"/>
        <w:gridCol w:w="647"/>
      </w:tblGrid>
      <w:tr w:rsidR="00FA5037" w:rsidRPr="00457F69" w:rsidTr="00697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06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FA5037" w:rsidRPr="00067430" w:rsidRDefault="00970A84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 xml:space="preserve">system </w:t>
            </w:r>
            <w:r w:rsidR="00CC6D35">
              <w:rPr>
                <w:color w:val="auto"/>
              </w:rPr>
              <w:t xml:space="preserve"> </w:t>
            </w:r>
            <w:r>
              <w:rPr>
                <w:color w:val="auto"/>
              </w:rPr>
              <w:t>DATY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D0011F" w:rsidRPr="00067430" w:rsidRDefault="005B2C28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 w:rsidR="00B65627"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EE6EFD" w:rsidRPr="00067430" w:rsidRDefault="005B2C28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5B2C28" w:rsidRPr="003D5445" w:rsidRDefault="005B2C28" w:rsidP="005B2C2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ISPA04:DAYTSHR&gt;’ D P^DI</w:t>
            </w:r>
          </w:p>
          <w:p w:rsidR="00C72523" w:rsidRPr="005B2C28" w:rsidRDefault="005B2C28" w:rsidP="005B2C2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Cs/>
                <w:sz w:val="20"/>
                <w:szCs w:val="2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User may be prompted for </w:t>
            </w:r>
            <w:r w:rsidR="0020097D">
              <w:rPr>
                <w:szCs w:val="20"/>
              </w:rPr>
              <w:t xml:space="preserve">next </w:t>
            </w:r>
            <w:r w:rsidR="000D429C">
              <w:rPr>
                <w:szCs w:val="20"/>
              </w:rPr>
              <w:t xml:space="preserve"> prompt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C72523" w:rsidRPr="00676B06" w:rsidRDefault="005B2C28" w:rsidP="00B65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When prompted ‘</w:t>
            </w:r>
            <w:r w:rsidR="00B65627">
              <w:rPr>
                <w:rFonts w:ascii="r_ansi" w:hAnsi="r_ansi" w:cs="r_ansi"/>
                <w:sz w:val="20"/>
                <w:szCs w:val="20"/>
              </w:rPr>
              <w:t>Select OPTION</w:t>
            </w:r>
            <w:r>
              <w:rPr>
                <w:rFonts w:ascii="r_ansi" w:hAnsi="r_ansi" w:cs="r_ansi"/>
                <w:sz w:val="20"/>
                <w:szCs w:val="20"/>
              </w:rPr>
              <w:t>:</w:t>
            </w:r>
            <w:r w:rsidR="00B65627">
              <w:rPr>
                <w:rFonts w:ascii="r_ansi" w:hAnsi="r_ansi" w:cs="r_ansi"/>
                <w:sz w:val="20"/>
                <w:szCs w:val="20"/>
              </w:rPr>
              <w:t xml:space="preserve">’ type DATA  and </w:t>
            </w:r>
            <w:r w:rsidR="00B65627" w:rsidRPr="00D21F5C">
              <w:rPr>
                <w:color w:val="auto"/>
              </w:rPr>
              <w:t>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0373D4" w:rsidRDefault="000373D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83BBE">
              <w:rPr>
                <w:color w:val="auto"/>
              </w:rPr>
              <w:t xml:space="preserve"> </w:t>
            </w:r>
            <w:r w:rsidR="000D429C" w:rsidRPr="00FF50DA">
              <w:rPr>
                <w:color w:val="auto"/>
              </w:rPr>
              <w:t xml:space="preserve">User may be prompted for </w:t>
            </w:r>
            <w:r w:rsidR="000D429C">
              <w:rPr>
                <w:szCs w:val="20"/>
              </w:rPr>
              <w:t>next  prompt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6406DC" w:rsidRPr="000542F9" w:rsidRDefault="000D429C" w:rsidP="000542F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Cs/>
                <w:sz w:val="20"/>
                <w:szCs w:val="20"/>
              </w:rPr>
            </w:pPr>
            <w:r w:rsidRPr="00676B06">
              <w:rPr>
                <w:rFonts w:ascii="r_ansi" w:hAnsi="r_ansi"/>
                <w:bCs/>
                <w:sz w:val="20"/>
                <w:szCs w:val="20"/>
              </w:rPr>
              <w:t xml:space="preserve">Select DATA DICTIONARY UTILITY OPTION: LIST FILE ATTRIBUTES  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8F4C0B" w:rsidRPr="00067430" w:rsidRDefault="00B65627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</w:t>
            </w:r>
            <w:r w:rsidR="000D429C" w:rsidRPr="00FF50DA">
              <w:rPr>
                <w:color w:val="auto"/>
              </w:rPr>
              <w:t xml:space="preserve"> prompted </w:t>
            </w:r>
            <w:r>
              <w:rPr>
                <w:color w:val="auto"/>
              </w:rPr>
              <w:t xml:space="preserve"> </w:t>
            </w:r>
            <w:r w:rsidR="000D429C" w:rsidRPr="00FF50DA">
              <w:rPr>
                <w:color w:val="auto"/>
              </w:rPr>
              <w:t xml:space="preserve">for </w:t>
            </w:r>
            <w:r w:rsidR="000D429C">
              <w:rPr>
                <w:szCs w:val="20"/>
              </w:rPr>
              <w:t>next  prompt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06" w:type="pct"/>
            <w:shd w:val="clear" w:color="auto" w:fill="auto"/>
          </w:tcPr>
          <w:p w:rsidR="006406DC" w:rsidRPr="007D62CD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76B06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76B06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6406DC" w:rsidRPr="00676B06" w:rsidRDefault="00B65627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START WITH What File: DEA NUMBERS// 8991.9 AND </w:t>
            </w:r>
            <w:r w:rsidRPr="00D21F5C">
              <w:rPr>
                <w:color w:val="auto"/>
              </w:rPr>
              <w:t>press &lt;return&gt;</w:t>
            </w:r>
            <w:r>
              <w:rPr>
                <w:color w:val="auto"/>
              </w:rPr>
              <w:t xml:space="preserve"> until displayed the all  field 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6406DC" w:rsidRPr="007D62CD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76B06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START WITH What File: DEA NUMBERS// 8991.9  DEA NUMBERS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          (2 entries)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GO TO What File: DEA NUMBERS//      (2 entries)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LISTING FORMAT: STANDARD//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Start with field: FIRST//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DEVICE:   SECURE    Right Margin: 80//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1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BA54FC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DD ACCESS: @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RD ACCESS: @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WR ACCESS: @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DEL ACCESS: @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LAYGO ACCESS: @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AUDIT ACCESS: @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POINTED TO BY: DEA NUMBER field (#.01) of the NEW DEA #'S sub-field (#200.08)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of the NEW PERSON File (#200)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CROSS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REFERENCED BY: DEA NUMBER(B)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2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BA54FC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LAST MODIFIED: OCT 24,2017@09:34:27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8991.9,.01    DEA NUMBER             0;1 FREE TEXT (Required)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K:'$$VALDEA^XUSER2(X) X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9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13,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DEA number 2 letters 7 numbers.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is used to enter the Drug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Enforcement Administration (DEA) number.  Enter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DEA number as two upper case letters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followed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by 7 digits.  e.g., AA1234567.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TECHNICAL DESCR:  This is the algorithm for the DEA number</w:t>
            </w:r>
          </w:p>
          <w:p w:rsidR="000D429C" w:rsidRPr="00403026" w:rsidRDefault="000D429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429C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0D429C" w:rsidRPr="008543A8" w:rsidRDefault="000D429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3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BA54FC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checking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first letter for practitioners (physicians,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dentists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, veterinarians, pharmacies etc.) is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either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an "A", "B", "F", or "G".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second letter should be the first letter of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the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practitioner's last name.  Sometimes this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does not match if the registrant changed their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name or the DEA did not get it correct the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first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time.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check digit algorithm is as follows: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AS1234563                       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4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BA54FC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5D6318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</w:t>
            </w:r>
            <w:r w:rsidR="007F0C9E">
              <w:rPr>
                <w:rFonts w:ascii="r_ansi" w:hAnsi="r_ansi" w:cs="r_ansi"/>
                <w:sz w:val="20"/>
                <w:szCs w:val="20"/>
              </w:rPr>
              <w:t xml:space="preserve">1 + 3 + 5 =   9 2 + 4 + 6 = 12 x 2 = 24 9 + 24 = 33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</w:t>
            </w:r>
            <w:r w:rsidR="005D6318">
              <w:rPr>
                <w:rFonts w:ascii="r_ansi" w:hAnsi="r_ansi" w:cs="r_ansi"/>
                <w:sz w:val="20"/>
                <w:szCs w:val="20"/>
              </w:rPr>
              <w:t xml:space="preserve">         </w:t>
            </w:r>
            <w:r>
              <w:rPr>
                <w:rFonts w:ascii="r_ansi" w:hAnsi="r_ansi" w:cs="r_ansi"/>
                <w:sz w:val="20"/>
                <w:szCs w:val="20"/>
              </w:rPr>
              <w:t>The last digit of the total must equal the</w:t>
            </w:r>
          </w:p>
          <w:p w:rsidR="005D6318" w:rsidRDefault="005D6318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</w:t>
            </w:r>
            <w:proofErr w:type="gramStart"/>
            <w:r w:rsidR="007F0C9E">
              <w:rPr>
                <w:rFonts w:ascii="r_ansi" w:hAnsi="r_ansi" w:cs="r_ansi"/>
                <w:sz w:val="20"/>
                <w:szCs w:val="20"/>
              </w:rPr>
              <w:t>check</w:t>
            </w:r>
            <w:proofErr w:type="gramEnd"/>
            <w:r w:rsidR="007F0C9E">
              <w:rPr>
                <w:rFonts w:ascii="r_ansi" w:hAnsi="r_ansi" w:cs="r_ansi"/>
                <w:sz w:val="20"/>
                <w:szCs w:val="20"/>
              </w:rPr>
              <w:t xml:space="preserve"> digit (the last digit of the DEA number). (33#10)=$</w:t>
            </w:r>
            <w:proofErr w:type="gramStart"/>
            <w:r w:rsidR="007F0C9E">
              <w:rPr>
                <w:rFonts w:ascii="r_ansi" w:hAnsi="r_ansi" w:cs="r_ansi"/>
                <w:sz w:val="20"/>
                <w:szCs w:val="20"/>
              </w:rPr>
              <w:t>E(</w:t>
            </w:r>
            <w:proofErr w:type="gramEnd"/>
            <w:r w:rsidR="007F0C9E">
              <w:rPr>
                <w:rFonts w:ascii="r_ansi" w:hAnsi="r_ansi" w:cs="r_ansi"/>
                <w:sz w:val="20"/>
                <w:szCs w:val="20"/>
              </w:rPr>
              <w:t>"AS1234563",9) EXECUTABLE HELP:  W:$X&gt;5 ! W ?5,"Enter the DEA number as two upper case letters followed by 7 digits",!,?5,"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e.g.AA1234567.  Each provider must have a unique n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umber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.",!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NOTES:            XXXX--CAN'T BE ALTERED EXCEPT BY PROGRAMMER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CROSS-REFERENCE:  8991.9^B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1)= S ^XTV(8991.9,"B",$E(X,1,30),DA)=""</w:t>
            </w:r>
          </w:p>
          <w:p w:rsidR="006F3A3D" w:rsidRDefault="006F3A3D" w:rsidP="000D429C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0D429C" w:rsidRPr="008543A8" w:rsidRDefault="000D429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0D429C" w:rsidRPr="008543A8" w:rsidRDefault="000D429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3A3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5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BA54FC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2)= K ^XTV(8991.9,"B",$E(X,1,30),DA)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8991.9,.02    BUSINESS ACTIVITY CODE 0;2 POINTER TO DEA BUSINESS ACTIVITY CODES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 FILE (#8991.8)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Business Activity code given to this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DEA Number.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business activity code related to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this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DEA Number.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8991.9,.03    DETOX NUMBER           0;3 FREE TEXT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K:$L(X)&gt;9!($L(X)&lt;9) X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6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BA54FC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9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detox number associated with this DEA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Number. Answer must be 9 characters in length.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If the DEA provider has detox privileges, this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field will be populated with a 'VX' or 'XA'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followed by the numeric portion of the DEA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number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8991.9,.04    EXPIRATION DATE        0;4 DATE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S %DT="EX" D ^%DT S X=Y K:Y&lt;1 X</w:t>
            </w:r>
          </w:p>
          <w:p w:rsidR="006F3A3D" w:rsidRDefault="006F3A3D" w:rsidP="006F3A3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3A3D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7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5F7065">
              <w:rPr>
                <w:rFonts w:ascii="r_ansi" w:hAnsi="r_ansi" w:cs="r_ansi"/>
                <w:sz w:val="20"/>
                <w:szCs w:val="20"/>
              </w:rPr>
              <w:t>DNS.URL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date this DEA Number expires.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date of expiration for the DEA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Number.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8991.9,.05    DEA NUMBER SUFFIX      0;5 FREE TEXT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K:$L(X)&gt;4!($L(X)&lt;1) X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4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DEA suffix for the person associated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with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this DEA Number.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TANDARD DATA DICTIONARY #8991.9 -- DEA NUMBERS FILE         10/24/17    PAGE 8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BA54FC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bookmarkStart w:id="6" w:name="_GoBack"/>
            <w:bookmarkEnd w:id="6"/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This is the suffix related to this DEA Number.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,.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>06    USE FOR INPATIENT ORDERS? 0;6 SET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YES;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'0' FOR NO;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Can this DEA be used for inpatient orders?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Answer 'YES' or 'NO'.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indicates whether or not this DEA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number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can be used for inpatient orders.  </w:t>
            </w:r>
          </w:p>
          <w:p w:rsidR="006F3A3D" w:rsidRDefault="006F3A3D" w:rsidP="006F3A3D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3A3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 10/24/17    PAGE 9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>DNS.URL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8991.9,.07    TYPE                   0;7 SET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INSTITUTIONAL;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'2' FOR INDIVIDUAL;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07,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usage type for the DEA. The DEA usage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type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may be 'Individual', or 'Institutional.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identifies whether the DEA number is an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individual DEA number or an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Instutional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DEA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number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8991.9,1.1    NAME (PROVIDER OR INSTITUTION) 1;1 FREE TEXT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K:$L(X)&gt;40!($L(X)&lt;1) X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10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 w:rsidRP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40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name associated with this DEA Number.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Answer must be 1-40 characters in length.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name of the facility or person who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is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associated with this DEA Number.  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8991.9,1.2    STREET ADDRESS 1       1;2 FREE TEXT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K:$L(X)&gt;40!($L(X)&lt;1) X</w:t>
            </w:r>
          </w:p>
          <w:p w:rsidR="007F0C9E" w:rsidRDefault="007F0C9E" w:rsidP="007F0C9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40</w:t>
            </w:r>
          </w:p>
          <w:p w:rsidR="006F3A3D" w:rsidRDefault="006F3A3D" w:rsidP="006F3A3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3A3D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11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 w:rsidRP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street address line 1 for the given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person/institution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Answer must be 1-40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characters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in length.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first line of the street address of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permanent address of the person or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spellStart"/>
            <w:proofErr w:type="gramStart"/>
            <w:r>
              <w:rPr>
                <w:rFonts w:ascii="r_ansi" w:hAnsi="r_ansi" w:cs="r_ansi"/>
                <w:sz w:val="20"/>
                <w:szCs w:val="20"/>
              </w:rPr>
              <w:t>intitution</w:t>
            </w:r>
            <w:proofErr w:type="spellEnd"/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associated with this DEA Number.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8991.9,1.3    STREET ADDRESS 2       1;3 FREE TEXT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K:$L(X)&gt;40!($L(X)&lt;1) X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12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40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street address line 2 for the given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person/institution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Answer must be 1-40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characters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in length.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second line of the street address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of the permanent address of the person or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spellStart"/>
            <w:proofErr w:type="gramStart"/>
            <w:r>
              <w:rPr>
                <w:rFonts w:ascii="r_ansi" w:hAnsi="r_ansi" w:cs="r_ansi"/>
                <w:sz w:val="20"/>
                <w:szCs w:val="20"/>
              </w:rPr>
              <w:t>intitution</w:t>
            </w:r>
            <w:proofErr w:type="spellEnd"/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associated with this DEA Number.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8991.9,1.4    STREET ADDRESS 3       1;4 FREE TEXT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K:$L(X)&gt;40!($L(X)&lt;1) X</w:t>
            </w:r>
          </w:p>
          <w:p w:rsidR="006F3A3D" w:rsidRDefault="006F3A3D" w:rsidP="006F3A3D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3A3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13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 w:rsidRP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40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street address line 3 for the given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person/institution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Answer must be 1-40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characters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in length.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third line of the street address of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permanent address of the person or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spellStart"/>
            <w:proofErr w:type="gramStart"/>
            <w:r>
              <w:rPr>
                <w:rFonts w:ascii="r_ansi" w:hAnsi="r_ansi" w:cs="r_ansi"/>
                <w:sz w:val="20"/>
                <w:szCs w:val="20"/>
              </w:rPr>
              <w:t>intitution</w:t>
            </w:r>
            <w:proofErr w:type="spellEnd"/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associated with this DEA Number.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8991.9,1.5    CITY                   1;5 FREE TEXT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K:$L(X)&gt;33!($L(X)&lt;1) X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14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 w:rsidRP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33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city of the permanent address of the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person or institution associated with this DEA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Number. Answer must be 1-33 characters in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length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city of the permanent address of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person or institution related to this DEA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Number.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8991.9,1.6    STATE                  1;6 POINTER TO STATE FILE (#5)</w:t>
            </w:r>
          </w:p>
          <w:p w:rsidR="006F3A3D" w:rsidRDefault="006F3A3D" w:rsidP="006F3A3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3A3D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15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stat of the permanent address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associated with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thie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person or institution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associated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with this DEA Number.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state of the permanent address of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the person or institution associated with this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DEA Number.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8991.9,1.7    ZIP CODE               1;7 FREE TEXT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K:$L(X)&gt;9!($L(X)&lt;5) X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16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MAXIMUM LENGTH:   9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ZIP CODE or ZIP+4. Answer must be 5-9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characters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in length.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postal ZIP code of the person or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institution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associated with this DEA Number.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8991.9,2.1    SCHEDULE II NARCOTIC   2;1 SET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YES;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'0' FOR NO;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6F3A3D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3A3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17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DEA number allows for schedule II drugs?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is used to determine if the provider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has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privileges for Schedule II drugs.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8991.9,2.2    SCHEDULE II NON-NARCOTIC 2;2 SET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YES;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'0' FOR NO;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Provider has privileges for schedule II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non-narcotic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?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18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is used to determine if the provider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has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privileges for Schedule II non-narcotic.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8991.9,2.3    SCHEDULE III NARCOTIC  2;3 SET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YES;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'0' FOR NO;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Provider has privileges for schedule III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narcotic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?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is used to determine if the provider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has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privileges for Schedule II narcotic.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F3A3D" w:rsidRDefault="006F3A3D" w:rsidP="006F3A3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3A3D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19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>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8991.9,2.4    SCHEDULE III NON-NARCOTIC 2;4 SET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YES;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'0' FOR NO;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Provider has privileges for schedule III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non-narcotic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?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is used to determine if the provider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has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privileges for Schedule III non-narcotic.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8991.9,2.5    SCHEDULE IV            2;5 SET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YES;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20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'0' FOR NO;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Provider has privileges for schedule IV?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is used to determine if the provider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has privileges for Schedule IV controlled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substances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8991.9,2.6    SCHEDULE V             2;6 SET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'1' FOR YES; </w:t>
            </w:r>
          </w:p>
          <w:p w:rsidR="006F3A3D" w:rsidRDefault="00796306" w:rsidP="00796306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'0' FOR NO; </w:t>
            </w: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3A3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21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 w:rsidRP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Provider has privileges for schedule V?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field is used to determine if the provider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has privileges for Schedule V controlled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substances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8991.9,10.1   LAST UPDATED BY        10;1 POINTER TO NEW PERSON FILE (#200)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person who last updated this DEA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record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person from the NEW PERSON file who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last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initiated an update to this DEA record.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22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8991.9,10.2   LAST UPDATED DATE/TIME 10;2 DATE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S %DT="ESTX" D ^%DT S X=Y K:Y&lt;1 X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date/time this DEA record was last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updated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date/time of the last update to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this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DEA record.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8991.9,10.3   LAST DOJ UPDATE DATE/TIME 10;3 DATE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INPUT TRANSFORM:  S %DT="ESTX" D ^%DT S X=Y K:Y&lt;1 X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F3A3D" w:rsidRDefault="006F3A3D" w:rsidP="006F3A3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3A3D" w:rsidRPr="00457F69" w:rsidTr="00697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6F3A3D" w:rsidRPr="008543A8" w:rsidRDefault="006F3A3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DATA DICTIONARY #8991.9 -- DEA NUMBERS FILE        10/24/17    PAGE 23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STORED IN ^XTV(8991.9,  (2 ENTRIES)   SITE: </w:t>
            </w:r>
            <w:r w:rsidR="002D3897">
              <w:rPr>
                <w:rFonts w:ascii="r_ansi" w:hAnsi="r_ansi" w:cs="r_ansi"/>
                <w:sz w:val="20"/>
                <w:szCs w:val="20"/>
              </w:rPr>
              <w:t xml:space="preserve">DNS.URL   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UCI: DAYTSH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R,ROU                                                          (VERSION 8.0) 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DATA          NAME                  GLOBAL        DATA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ELEMENT       TITLE                 LOCATION      TYPE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-------------------------------------------------------------------------------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LAST EDITED:      OCT 05, 2017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HELP-PROMPT:      Enter the date/time this DEA record was last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updated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by the DOJ source.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DESCRIPTION:      This is the date/time the DOJ (Department of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Justice) data was used to update this DEA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       </w:t>
            </w:r>
            <w:proofErr w:type="gramStart"/>
            <w:r>
              <w:rPr>
                <w:rFonts w:ascii="r_ansi" w:hAnsi="r_ansi" w:cs="r_ansi"/>
                <w:sz w:val="20"/>
                <w:szCs w:val="20"/>
              </w:rPr>
              <w:t>record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. 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FILES POINTED TO                      FIELDS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DEA BUSINESS ACTIVITY CODES 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(#8991.8)      BUSINESS ACTIVITY CODE (#.02)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NEW PERSON (#200)                 LAST UPDATED BY (#10.1)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STATE (#5)                        STATE (#1.6)</w:t>
            </w:r>
          </w:p>
          <w:p w:rsidR="00796306" w:rsidRDefault="00796306" w:rsidP="0079630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F3A3D" w:rsidRDefault="006F3A3D" w:rsidP="006F3A3D">
            <w:p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6F3A3D" w:rsidRPr="008543A8" w:rsidRDefault="006F3A3D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13ED" w:rsidRPr="00457F69" w:rsidTr="00697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8C13ED" w:rsidRPr="008543A8" w:rsidRDefault="008C13ED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6" w:type="pct"/>
            <w:shd w:val="clear" w:color="auto" w:fill="auto"/>
          </w:tcPr>
          <w:p w:rsidR="008C13ED" w:rsidRDefault="008C13ED" w:rsidP="008C13E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auto"/>
          </w:tcPr>
          <w:p w:rsidR="008C13ED" w:rsidRPr="008543A8" w:rsidRDefault="008C13E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shd w:val="clear" w:color="auto" w:fill="auto"/>
          </w:tcPr>
          <w:p w:rsidR="008C13ED" w:rsidRPr="008543A8" w:rsidRDefault="008C13ED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173" w:rsidRDefault="00E45173" w:rsidP="00856B83">
      <w:pPr>
        <w:spacing w:after="0" w:line="240" w:lineRule="auto"/>
      </w:pPr>
      <w:r>
        <w:separator/>
      </w:r>
    </w:p>
  </w:endnote>
  <w:endnote w:type="continuationSeparator" w:id="0">
    <w:p w:rsidR="00E45173" w:rsidRDefault="00E45173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Default="00B656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Default="00B656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Default="00B6562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Pr="008F41FD" w:rsidRDefault="00B65627" w:rsidP="008F41FD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Pr="008F41FD" w:rsidRDefault="00B65627" w:rsidP="008F41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173" w:rsidRDefault="00E45173" w:rsidP="00856B83">
      <w:pPr>
        <w:spacing w:after="0" w:line="240" w:lineRule="auto"/>
      </w:pPr>
      <w:r>
        <w:separator/>
      </w:r>
    </w:p>
  </w:footnote>
  <w:footnote w:type="continuationSeparator" w:id="0">
    <w:p w:rsidR="00E45173" w:rsidRDefault="00E45173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Default="00B656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Default="00B656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7" w:rsidRDefault="00B656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24"/>
  </w:num>
  <w:num w:numId="14">
    <w:abstractNumId w:val="20"/>
  </w:num>
  <w:num w:numId="15">
    <w:abstractNumId w:val="11"/>
  </w:num>
  <w:num w:numId="16">
    <w:abstractNumId w:val="14"/>
  </w:num>
  <w:num w:numId="17">
    <w:abstractNumId w:val="21"/>
  </w:num>
  <w:num w:numId="18">
    <w:abstractNumId w:val="10"/>
  </w:num>
  <w:num w:numId="19">
    <w:abstractNumId w:val="8"/>
  </w:num>
  <w:num w:numId="20">
    <w:abstractNumId w:val="3"/>
  </w:num>
  <w:num w:numId="21">
    <w:abstractNumId w:val="22"/>
  </w:num>
  <w:num w:numId="22">
    <w:abstractNumId w:val="23"/>
  </w:num>
  <w:num w:numId="23">
    <w:abstractNumId w:val="18"/>
  </w:num>
  <w:num w:numId="24">
    <w:abstractNumId w:val="13"/>
  </w:num>
  <w:num w:numId="25">
    <w:abstractNumId w:val="19"/>
  </w:num>
  <w:num w:numId="26">
    <w:abstractNumId w:val="16"/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4CDA"/>
    <w:rsid w:val="000373D4"/>
    <w:rsid w:val="000505C7"/>
    <w:rsid w:val="0005275B"/>
    <w:rsid w:val="000542F9"/>
    <w:rsid w:val="00067430"/>
    <w:rsid w:val="00070E8A"/>
    <w:rsid w:val="000767F7"/>
    <w:rsid w:val="00085990"/>
    <w:rsid w:val="00090B61"/>
    <w:rsid w:val="0009679E"/>
    <w:rsid w:val="000A042F"/>
    <w:rsid w:val="000B2426"/>
    <w:rsid w:val="000B31A7"/>
    <w:rsid w:val="000C1212"/>
    <w:rsid w:val="000C162C"/>
    <w:rsid w:val="000D36F1"/>
    <w:rsid w:val="000D429C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706D9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20097D"/>
    <w:rsid w:val="00202F5E"/>
    <w:rsid w:val="002156B2"/>
    <w:rsid w:val="002279EA"/>
    <w:rsid w:val="002351AB"/>
    <w:rsid w:val="00236A3D"/>
    <w:rsid w:val="00264710"/>
    <w:rsid w:val="0026552A"/>
    <w:rsid w:val="002657AC"/>
    <w:rsid w:val="002666BE"/>
    <w:rsid w:val="002A03B5"/>
    <w:rsid w:val="002A1175"/>
    <w:rsid w:val="002B2208"/>
    <w:rsid w:val="002D3897"/>
    <w:rsid w:val="002D59A6"/>
    <w:rsid w:val="002E6920"/>
    <w:rsid w:val="002E7B46"/>
    <w:rsid w:val="002F7C70"/>
    <w:rsid w:val="00306721"/>
    <w:rsid w:val="0032039B"/>
    <w:rsid w:val="00327614"/>
    <w:rsid w:val="00350E7E"/>
    <w:rsid w:val="003656D7"/>
    <w:rsid w:val="0038065E"/>
    <w:rsid w:val="0039199A"/>
    <w:rsid w:val="00393E15"/>
    <w:rsid w:val="003A5A3A"/>
    <w:rsid w:val="003B5D58"/>
    <w:rsid w:val="003C13DF"/>
    <w:rsid w:val="003C6B51"/>
    <w:rsid w:val="003E19BB"/>
    <w:rsid w:val="003F5B94"/>
    <w:rsid w:val="00403026"/>
    <w:rsid w:val="0040381E"/>
    <w:rsid w:val="0041073F"/>
    <w:rsid w:val="004165C5"/>
    <w:rsid w:val="0042143F"/>
    <w:rsid w:val="00434712"/>
    <w:rsid w:val="00437A98"/>
    <w:rsid w:val="00441315"/>
    <w:rsid w:val="00443D17"/>
    <w:rsid w:val="00457F69"/>
    <w:rsid w:val="0048031B"/>
    <w:rsid w:val="004806CC"/>
    <w:rsid w:val="004F2C35"/>
    <w:rsid w:val="00511CE6"/>
    <w:rsid w:val="00514CB2"/>
    <w:rsid w:val="00530692"/>
    <w:rsid w:val="005462D7"/>
    <w:rsid w:val="00552D7B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2C28"/>
    <w:rsid w:val="005B3C0D"/>
    <w:rsid w:val="005C714A"/>
    <w:rsid w:val="005D6318"/>
    <w:rsid w:val="005E2B16"/>
    <w:rsid w:val="005E525B"/>
    <w:rsid w:val="005F6890"/>
    <w:rsid w:val="005F7065"/>
    <w:rsid w:val="00601879"/>
    <w:rsid w:val="006131A6"/>
    <w:rsid w:val="00613E48"/>
    <w:rsid w:val="006406DC"/>
    <w:rsid w:val="00665245"/>
    <w:rsid w:val="0066795A"/>
    <w:rsid w:val="00672BDC"/>
    <w:rsid w:val="00676B06"/>
    <w:rsid w:val="00687CD2"/>
    <w:rsid w:val="006972AC"/>
    <w:rsid w:val="006A5447"/>
    <w:rsid w:val="006B3BF3"/>
    <w:rsid w:val="006C57BB"/>
    <w:rsid w:val="006C6119"/>
    <w:rsid w:val="006F3A3D"/>
    <w:rsid w:val="007206E4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6306"/>
    <w:rsid w:val="007976FD"/>
    <w:rsid w:val="007A10CD"/>
    <w:rsid w:val="007A16CE"/>
    <w:rsid w:val="007B313B"/>
    <w:rsid w:val="007B348F"/>
    <w:rsid w:val="007C3835"/>
    <w:rsid w:val="007D62CD"/>
    <w:rsid w:val="007D7F53"/>
    <w:rsid w:val="007E4006"/>
    <w:rsid w:val="007F0C9E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43A8"/>
    <w:rsid w:val="00856B83"/>
    <w:rsid w:val="00874BBB"/>
    <w:rsid w:val="00884A55"/>
    <w:rsid w:val="00885DE3"/>
    <w:rsid w:val="008C13ED"/>
    <w:rsid w:val="008F41FD"/>
    <w:rsid w:val="008F4C0B"/>
    <w:rsid w:val="009043F2"/>
    <w:rsid w:val="0093534F"/>
    <w:rsid w:val="0095548D"/>
    <w:rsid w:val="00970A84"/>
    <w:rsid w:val="00983B3F"/>
    <w:rsid w:val="009C601D"/>
    <w:rsid w:val="009F2978"/>
    <w:rsid w:val="009F6B1C"/>
    <w:rsid w:val="00A01591"/>
    <w:rsid w:val="00A15A99"/>
    <w:rsid w:val="00A22CFC"/>
    <w:rsid w:val="00A22E60"/>
    <w:rsid w:val="00A5122D"/>
    <w:rsid w:val="00A5188E"/>
    <w:rsid w:val="00A557B9"/>
    <w:rsid w:val="00A70C8C"/>
    <w:rsid w:val="00A75D4F"/>
    <w:rsid w:val="00A81B58"/>
    <w:rsid w:val="00A95DE2"/>
    <w:rsid w:val="00AA025E"/>
    <w:rsid w:val="00AB5E58"/>
    <w:rsid w:val="00AD48AB"/>
    <w:rsid w:val="00AE0D4A"/>
    <w:rsid w:val="00AE5EAF"/>
    <w:rsid w:val="00AF2C21"/>
    <w:rsid w:val="00B267AC"/>
    <w:rsid w:val="00B452B1"/>
    <w:rsid w:val="00B50F40"/>
    <w:rsid w:val="00B5483C"/>
    <w:rsid w:val="00B6286A"/>
    <w:rsid w:val="00B65627"/>
    <w:rsid w:val="00B719B4"/>
    <w:rsid w:val="00B72006"/>
    <w:rsid w:val="00B84434"/>
    <w:rsid w:val="00BA54FC"/>
    <w:rsid w:val="00BC6289"/>
    <w:rsid w:val="00BC6295"/>
    <w:rsid w:val="00BE14F8"/>
    <w:rsid w:val="00BF434C"/>
    <w:rsid w:val="00BF7635"/>
    <w:rsid w:val="00C106AD"/>
    <w:rsid w:val="00C11E26"/>
    <w:rsid w:val="00C25B67"/>
    <w:rsid w:val="00C31A76"/>
    <w:rsid w:val="00C3401A"/>
    <w:rsid w:val="00C4199A"/>
    <w:rsid w:val="00C42907"/>
    <w:rsid w:val="00C46329"/>
    <w:rsid w:val="00C53A06"/>
    <w:rsid w:val="00C57B21"/>
    <w:rsid w:val="00C72523"/>
    <w:rsid w:val="00C80FD5"/>
    <w:rsid w:val="00C84170"/>
    <w:rsid w:val="00C85163"/>
    <w:rsid w:val="00CA3D6E"/>
    <w:rsid w:val="00CC3D8F"/>
    <w:rsid w:val="00CC6D35"/>
    <w:rsid w:val="00CD4582"/>
    <w:rsid w:val="00CE5513"/>
    <w:rsid w:val="00CF34C2"/>
    <w:rsid w:val="00D0011F"/>
    <w:rsid w:val="00D2114B"/>
    <w:rsid w:val="00D21F5C"/>
    <w:rsid w:val="00D373DA"/>
    <w:rsid w:val="00D515DC"/>
    <w:rsid w:val="00D623CB"/>
    <w:rsid w:val="00D70935"/>
    <w:rsid w:val="00D76F3F"/>
    <w:rsid w:val="00D8354C"/>
    <w:rsid w:val="00D83A34"/>
    <w:rsid w:val="00DA19DF"/>
    <w:rsid w:val="00DA6A6D"/>
    <w:rsid w:val="00DC3219"/>
    <w:rsid w:val="00DC6C34"/>
    <w:rsid w:val="00DF0702"/>
    <w:rsid w:val="00DF3357"/>
    <w:rsid w:val="00E15739"/>
    <w:rsid w:val="00E25188"/>
    <w:rsid w:val="00E45173"/>
    <w:rsid w:val="00E52DDB"/>
    <w:rsid w:val="00E61D0A"/>
    <w:rsid w:val="00E74E11"/>
    <w:rsid w:val="00E75098"/>
    <w:rsid w:val="00E900EC"/>
    <w:rsid w:val="00E90959"/>
    <w:rsid w:val="00EB15BF"/>
    <w:rsid w:val="00EB4B73"/>
    <w:rsid w:val="00EC74EA"/>
    <w:rsid w:val="00EE6EFD"/>
    <w:rsid w:val="00EE72D8"/>
    <w:rsid w:val="00EF0B45"/>
    <w:rsid w:val="00EF40FE"/>
    <w:rsid w:val="00F11397"/>
    <w:rsid w:val="00F16735"/>
    <w:rsid w:val="00F22652"/>
    <w:rsid w:val="00F24B75"/>
    <w:rsid w:val="00F356C4"/>
    <w:rsid w:val="00F40374"/>
    <w:rsid w:val="00F53E89"/>
    <w:rsid w:val="00F96199"/>
    <w:rsid w:val="00F974D5"/>
    <w:rsid w:val="00FA1161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9B9BC-3ADF-4786-81FD-4F33C3A8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4319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2018-02-19T14:52:00Z</dcterms:created>
  <dcterms:modified xsi:type="dcterms:W3CDTF">2018-02-19T14:52:00Z</dcterms:modified>
</cp:coreProperties>
</file>